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January 2023</w:t>
      </w:r>
    </w:p>
    <w:p>
      <w:pPr>
        <w:pStyle w:val="Body"/>
        <w:bidi w:val="0"/>
      </w:pPr>
      <w:r>
        <w:rPr>
          <w:rtl w:val="0"/>
        </w:rPr>
        <w:t>TechAdmin Report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District can get 6 email addresses </w:t>
      </w:r>
      <w:r>
        <w:rPr>
          <w:rtl w:val="0"/>
        </w:rPr>
        <w:t xml:space="preserve">– </w:t>
      </w:r>
      <w:r>
        <w:rPr>
          <w:rtl w:val="0"/>
        </w:rPr>
        <w:t xml:space="preserve">the same number of offices </w:t>
      </w:r>
      <w:r>
        <w:rPr>
          <w:rtl w:val="0"/>
        </w:rPr>
        <w:t xml:space="preserve">– </w:t>
      </w:r>
      <w:r>
        <w:rPr>
          <w:rtl w:val="0"/>
        </w:rPr>
        <w:t>with a slightly expanded level of service for just under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987222</wp:posOffset>
            </wp:positionH>
            <wp:positionV relativeFrom="line">
              <wp:posOffset>173244</wp:posOffset>
            </wp:positionV>
            <wp:extent cx="2946400" cy="5753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1-07 at 17.40.06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1-07 at 17.40.06 .png" descr="Screenshot 2023-01-07 at 17.40.06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75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$100/year.</w:t>
      </w:r>
    </w:p>
    <w:p>
      <w:pPr>
        <w:pStyle w:val="Body"/>
        <w:bidi w:val="0"/>
      </w:pPr>
      <w:r>
        <w:rPr>
          <w:rtl w:val="0"/>
        </w:rPr>
        <w:t>Detail</w:t>
      </w:r>
      <w:r>
        <w:rPr>
          <w:rtl w:val="0"/>
        </w:rPr>
        <w:t>—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mentioned in the Full chart  (attached),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It is not possible to mix free and paid plans. However, one can mix and match users in different paid plans.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Nonetheless, a</w:t>
      </w:r>
      <w:r>
        <w:rPr>
          <w:rtl w:val="0"/>
        </w:rPr>
        <w:t>ttachment size limits apply to both sending and receiving, so large attachments cannot be shared unless both users have similar size limits</w:t>
      </w:r>
      <w:r>
        <w:rPr>
          <w:rtl w:val="0"/>
        </w:rPr>
        <w:t>, and the largest attachments are split over more than one message.</w:t>
      </w:r>
    </w:p>
    <w:p>
      <w:pPr>
        <w:pStyle w:val="Body"/>
        <w:bidi w:val="0"/>
      </w:pPr>
      <w:r>
        <w:rPr>
          <w:rtl w:val="0"/>
        </w:rPr>
        <w:t>Therefore, the attachment and storage limits indicate it could be best for all 6 accounts to be identical. Otherwise some accounts could be shared, reducing the number.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